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58126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附件2</w:t>
      </w:r>
    </w:p>
    <w:p w14:paraId="190F026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左云县市容秩序分级分类管理街区清单</w:t>
      </w:r>
    </w:p>
    <w:bookmarkEnd w:id="0"/>
    <w:p w14:paraId="3F61A05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p>
    <w:p w14:paraId="61E6C6A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根据县城道路功能、商业分布和群众活动情况，参照市级市容秩序分级管理要求，将县城街区划分为引领示范区、规范管理区、灵活管理区，分级管理、突出重点、差别作业。</w:t>
      </w:r>
    </w:p>
    <w:p w14:paraId="20689A3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引领示范区：白羊大街、云新大街商业集中段；东山森林公园、十里河生态</w:t>
      </w:r>
      <w:r>
        <w:rPr>
          <w:rFonts w:hint="eastAsia" w:ascii="仿宋_GB2312" w:hAnsi="仿宋_GB2312" w:cs="仿宋_GB2312"/>
          <w:sz w:val="32"/>
          <w:szCs w:val="32"/>
          <w:lang w:eastAsia="zh-CN"/>
        </w:rPr>
        <w:t>公</w:t>
      </w:r>
      <w:r>
        <w:rPr>
          <w:rFonts w:hint="eastAsia" w:ascii="仿宋_GB2312" w:hAnsi="仿宋_GB2312" w:eastAsia="仿宋_GB2312" w:cs="仿宋_GB2312"/>
          <w:sz w:val="32"/>
          <w:szCs w:val="32"/>
        </w:rPr>
        <w:t>园、文化广场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市民广场等</w:t>
      </w:r>
      <w:r>
        <w:rPr>
          <w:rFonts w:hint="eastAsia" w:ascii="仿宋_GB2312" w:hAnsi="仿宋_GB2312" w:eastAsia="仿宋_GB2312" w:cs="仿宋_GB2312"/>
          <w:sz w:val="32"/>
          <w:szCs w:val="32"/>
        </w:rPr>
        <w:t>公园广场周边。该区域实行高标准管理，保洁、巡查、执法力量重点保障，作为全县整治样板。</w:t>
      </w:r>
    </w:p>
    <w:p w14:paraId="2F0E2CE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范管理区：云川路、南城路、武州大道、左卫大道等县城主要道路沿线；鼓楼菜市场、云川路便民市场、和泰路便民市场周边；县人民医院、县中医医院、县城各中小学校、幼儿园周边；云泰园、云和园、云绣苑、福园、祥和嘉园等主要居民小区周边。该区域保持常态化保洁和管理，问题随发现随处理。</w:t>
      </w:r>
    </w:p>
    <w:p w14:paraId="1C37A6E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灵活管理区：上述两级以外的背街小巷、城中村道路和居民小区周边街区，主要集中于东街、西街、南街、北街、府街、鼓楼街、太平楼街、北门街等旧城街巷片区和一般居民区周边道路。该区域以保持基本整洁、不积存垃圾、不长期占道为底线，结合各社区实际安排保洁和巡查。</w:t>
      </w:r>
    </w:p>
    <w:p w14:paraId="5DB83206">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rPr>
      </w:pPr>
    </w:p>
    <w:p w14:paraId="607733E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市容环卫工作标准</w:t>
      </w:r>
    </w:p>
    <w:p w14:paraId="4087C7D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14:paraId="634A300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市容环卫工作方面，工作方案未明确的事项参照以下标准执行。</w:t>
      </w:r>
    </w:p>
    <w:p w14:paraId="791F40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一、市容市貌质量标准</w:t>
      </w:r>
    </w:p>
    <w:p w14:paraId="580D405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市容秩序管理</w:t>
      </w:r>
    </w:p>
    <w:p w14:paraId="6EE5D8D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市主要道路、重要商业街区、旅游景点等区域无占道经营、店外经营、店外作业、店外展示及堆放物品等行为；无违法搭建临时建（构）筑物及临时设施（展台、棚、伞、架）；无占用道路两侧公共区域从事车辆清洗、维修、装饰等行为；主次干道、建（构）筑物无悬挂各类条幅、晾晒物品，公共设施和树木上无非法张贴和乱涂乱写的小广告。</w:t>
      </w:r>
    </w:p>
    <w:p w14:paraId="306367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临街单位和商铺无擅自设置地桩、地锁、不锈钢围栏、球形隔离墩等障碍物圈占道路和公共场地行为；无占压城市道路私接道路斜坡等构筑物行为；无不按规定地点停放和乱停乱放的共享交通工具。</w:t>
      </w:r>
    </w:p>
    <w:p w14:paraId="4B79056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批准临时占用道路作为早市及临时便民服务场所的，早市按规定时间（5:00—8:00）经营，临时便民服务点按规定时间（6:00—18:00）经营。经营结束后及时撤除经营车辆及物品，场地无垃圾、油污，经营设施摆放整齐，有专人清扫保洁。</w:t>
      </w:r>
    </w:p>
    <w:p w14:paraId="6072FC0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建</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构</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筑物</w:t>
      </w:r>
    </w:p>
    <w:p w14:paraId="782FA1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主要街道两侧和重点区域的建（构）筑物应保持外形完好、整洁，符合街景规划要求，无结构损坏、墙体剥离或外立面污染影响市容市貌的现象。窗外不得吊挂、晾晒或者堆放影响市容市貌的物品。</w:t>
      </w:r>
    </w:p>
    <w:p w14:paraId="25B2E6A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筑工地实行封闭施工，施工现场在批准占用的区域内采取封闭围挡措施，设置工程概况告示牌和昼夜警示标志。拆迁施工工地设置2.0米以上封闭围挡和警示标志，采取有效措施防止和减少扬尘污染。待建地块设置2.0米以上实体围墙，形式符合街景要求；近期未计划开发的地块进行临时绿化，保持围墙及绿化完好、整洁。</w:t>
      </w:r>
    </w:p>
    <w:p w14:paraId="4844763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公共设施与公共场地</w:t>
      </w:r>
    </w:p>
    <w:p w14:paraId="3665222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城市道路两旁或者公共场所设置的供电配电箱、交通信号控制箱、有线电视接线箱、邮政箱（筒）、安全护栏、隔离栏（墩）、消</w:t>
      </w:r>
      <w:r>
        <w:rPr>
          <w:rFonts w:hint="eastAsia" w:ascii="仿宋_GB2312" w:hAnsi="仿宋_GB2312" w:eastAsia="仿宋_GB2312" w:cs="仿宋_GB2312"/>
          <w:sz w:val="32"/>
          <w:szCs w:val="32"/>
          <w:lang w:val="en-US" w:eastAsia="zh-CN"/>
        </w:rPr>
        <w:t>火</w:t>
      </w:r>
      <w:r>
        <w:rPr>
          <w:rFonts w:hint="eastAsia" w:ascii="仿宋_GB2312" w:hAnsi="仿宋_GB2312" w:eastAsia="仿宋_GB2312" w:cs="仿宋_GB2312"/>
          <w:sz w:val="32"/>
          <w:szCs w:val="32"/>
        </w:rPr>
        <w:t>栓、垃圾</w:t>
      </w:r>
      <w:r>
        <w:rPr>
          <w:rFonts w:hint="eastAsia" w:ascii="仿宋_GB2312" w:hAnsi="仿宋_GB2312" w:eastAsia="仿宋_GB2312" w:cs="仿宋_GB2312"/>
          <w:sz w:val="32"/>
          <w:szCs w:val="32"/>
          <w:lang w:val="en-US" w:eastAsia="zh-CN"/>
        </w:rPr>
        <w:t>桶</w:t>
      </w:r>
      <w:r>
        <w:rPr>
          <w:rFonts w:hint="eastAsia" w:ascii="仿宋_GB2312" w:hAnsi="仿宋_GB2312" w:eastAsia="仿宋_GB2312" w:cs="仿宋_GB2312"/>
          <w:sz w:val="32"/>
          <w:szCs w:val="32"/>
        </w:rPr>
        <w:t>（箱）、废物箱、标志牌等公共服务设施，统一规划、有序设置，符合城市市容标准，无破旧、污损、残缺、乱涂乱贴等现象。</w:t>
      </w:r>
    </w:p>
    <w:p w14:paraId="6B1A443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车站、影剧院、体育馆、公园、广场、学校、医院等公共活动场地保持良好</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环境整洁，无乱堆乱放、乱拉乱挂、乱涂乱贴等现象。</w:t>
      </w:r>
    </w:p>
    <w:p w14:paraId="00EAF5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（四）</w:t>
      </w:r>
      <w:r>
        <w:rPr>
          <w:rFonts w:hint="eastAsia" w:ascii="楷体_GB2312" w:hAnsi="楷体_GB2312" w:eastAsia="楷体_GB2312" w:cs="楷体_GB2312"/>
          <w:sz w:val="32"/>
          <w:szCs w:val="32"/>
        </w:rPr>
        <w:t>广告设施与标识</w:t>
      </w:r>
    </w:p>
    <w:p w14:paraId="0E0A0E0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户外广告设施保持干净、完好，无残缺破损、文字图案不全和灯光显示不完整等现象。</w:t>
      </w:r>
    </w:p>
    <w:p w14:paraId="3713DCE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临街单位和商铺（含大门、橱窗等）内外侧无擅自悬挂、书写、张贴或设置带有经营服务内容的广告性文字、图案、标语或标贴。</w:t>
      </w:r>
    </w:p>
    <w:p w14:paraId="62A2D28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景观灯设施设置无光污染，不影响居民生活和身心健康，不影响交通安全，不破坏建（构）筑物、文物、绿化、公共设施原有建筑结构和风格。</w:t>
      </w:r>
    </w:p>
    <w:p w14:paraId="7F8D03C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、环境卫生质量标准</w:t>
      </w:r>
    </w:p>
    <w:p w14:paraId="26D5FEC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cs="仿宋_GB2312"/>
          <w:sz w:val="32"/>
          <w:szCs w:val="32"/>
          <w:lang w:eastAsia="zh-CN"/>
        </w:rPr>
        <w:t>（一）</w:t>
      </w:r>
      <w:r>
        <w:rPr>
          <w:rFonts w:hint="eastAsia" w:ascii="仿宋_GB2312" w:hAnsi="仿宋_GB2312" w:eastAsia="仿宋_GB2312" w:cs="仿宋_GB2312"/>
          <w:sz w:val="32"/>
          <w:szCs w:val="32"/>
        </w:rPr>
        <w:t>道路清扫保洁</w:t>
      </w:r>
    </w:p>
    <w:p w14:paraId="1267C53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机动车道、非机动车道、人行道等道路整体清洁，路面呈现本色，无成片垃圾、污渍、尘土。</w:t>
      </w:r>
    </w:p>
    <w:p w14:paraId="22E456A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1.质量要求</w:t>
      </w:r>
    </w:p>
    <w:p w14:paraId="03929A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主干道：每平方千米果皮小于4片，纸屑小于4片，烟蒂小于4个，痰迹小于4处，无其他垃圾。</w:t>
      </w:r>
    </w:p>
    <w:p w14:paraId="3AF38A6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次干道：每平方千米果皮小于10片，纸屑小于12片，烟蒂小于15个，痰迹小于15处，其他垃圾小于8处。</w:t>
      </w:r>
    </w:p>
    <w:p w14:paraId="36BD1DC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2.时间及次数要求</w:t>
      </w:r>
    </w:p>
    <w:p w14:paraId="2DD7864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主干道：人工普扫时间每日7:00前，机械清扫时间每日7:00前，人工每日巡回保洁7:00—21:00，夏季期间洒水、雾化每日不低于3次。最低气温在0</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以上时，每周清洗路面不少于3次。</w:t>
      </w:r>
    </w:p>
    <w:p w14:paraId="7F56923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次干道：人工普扫时间每日7:00前，机械清扫时间每日7:00前，人工每日巡回保洁7:00—20:00，夏季期间洒水、雾化每日不低于2次。最低气温在0</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以上时，每周清洗路面不少于2次。</w:t>
      </w:r>
    </w:p>
    <w:p w14:paraId="091D384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居民区小街巷：人工普扫时间每日7:00前，机械清扫时间每日7:00前，人工每日巡回保洁7:00—19:00，夏季期间适时洒水降温、降尘。</w:t>
      </w:r>
    </w:p>
    <w:p w14:paraId="53B1A10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商业街：人工清扫保洁时间5:00—22:00。机械清扫每日不低于3次，夏季期间洒水、雾化每日不低于3次。</w:t>
      </w:r>
    </w:p>
    <w:p w14:paraId="729AAC7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3.冬季作业。每年11月15日至次年3月15日期间，可根据实际天气情况适当调整人工巡回保洁时间，主干道调整为7:00—20:00，次干道调整为7:00—19:00。最低气温低于0</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时，停止洒水、雾化作业，防止路面结冰造成安全隐患。</w:t>
      </w:r>
    </w:p>
    <w:p w14:paraId="6C3E29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垃圾清运</w:t>
      </w:r>
    </w:p>
    <w:p w14:paraId="43AB7F3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生活垃圾实行日产日清，采用全密闭式运输车辆，车容干净整洁，分类标识清晰，运输过程中无垃圾散落、污水滴漏。垃圾箱不得外溢，周围不得积存垃圾。</w:t>
      </w:r>
    </w:p>
    <w:p w14:paraId="42A34A3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餐厨垃圾管理</w:t>
      </w:r>
    </w:p>
    <w:p w14:paraId="21055B8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运作业标准。餐厨废弃物实行特许经营、统一收运、日产日清，产生后24小时内完成收运。收运车辆须全密闭，具有防臭味扩散、防遗洒、防滴漏功能，安装北斗定位装置。收运作业做到“桶车对接”密闭运输，不得将餐厨废弃物与非餐厨废弃物混合收集、运输。收运完成后及时将收集容器复位、清理作业场地，确保“车走地净”。运输途中严禁乱倒、乱卸、乱抛，如发生遗洒、滴漏立即停车处理。收运单位建立台账，保存期限不少于2年。</w:t>
      </w:r>
    </w:p>
    <w:p w14:paraId="301F55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收运人员标准。收运人员经培训合格后持证上岗，统一穿着工服，佩戴工作帽、防护手套、工牌。夜间作业穿着带反光标识的工服或反光背心。作业期间正确佩戴口罩。作业过程中不得在作业区域饮食、吸烟。</w:t>
      </w:r>
    </w:p>
    <w:p w14:paraId="1FCAC5C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餐饮企业投放标准。餐饮企业应与取得特许经营权的收运单位签订收运合同，按规定设置符合标准的餐厨废弃物收集容器，保持容器完好、封闭、整洁。设置油水分离器或隔油池等污染防治设施。建立餐厨废弃物排放登记台账，保存期限不少于2年。不得将餐厨废弃物裸露存放、随意倾倒抛洒丢弃、排入雨水或污水排水管道、公共厕所或者沟渠河道；不得将收集容器摆放在城市道路上，非收运时段不得放置在道路两侧。将餐厨废弃物交由未取得特许经营权的单位或个人收集、运输和处置的，依法处罚。</w:t>
      </w:r>
    </w:p>
    <w:p w14:paraId="08B3B69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重点区域作业标准。餐饮集中区原则上每日收运不少于1次，收运时间避开用餐高峰时段。学校、医院食堂收运避开人流高峰时段，注意控制</w:t>
      </w:r>
      <w:r>
        <w:rPr>
          <w:rFonts w:hint="eastAsia" w:ascii="仿宋_GB2312" w:hAnsi="仿宋_GB2312" w:cs="仿宋_GB2312"/>
          <w:sz w:val="32"/>
          <w:szCs w:val="32"/>
          <w:lang w:eastAsia="zh-CN"/>
        </w:rPr>
        <w:t>噪声</w:t>
      </w:r>
      <w:r>
        <w:rPr>
          <w:rFonts w:hint="eastAsia" w:ascii="仿宋_GB2312" w:hAnsi="仿宋_GB2312" w:eastAsia="仿宋_GB2312" w:cs="仿宋_GB2312"/>
          <w:sz w:val="32"/>
          <w:szCs w:val="32"/>
        </w:rPr>
        <w:t>。大型酒店、宾馆根据实际产生量协商确定收运时间和频次，废弃食用油脂单独收集、单独运输。旧城区餐饮企业实行“定时上门收运”，收集容器统一放置在室内，实行“铃响即出”收运模式，不得将餐厨垃圾桶提前摆放在室外等候；使用统一配发的定制餐厨垃圾桶，实行“一桶一码”管理。旧城区外其他区域有室内存放条件的，收集容器统一放置在室内，不得随意摆放在城市道路、便道、盲道、行道树旁等公共区域。</w:t>
      </w:r>
    </w:p>
    <w:p w14:paraId="566C058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（四）</w:t>
      </w:r>
      <w:r>
        <w:rPr>
          <w:rFonts w:hint="eastAsia" w:ascii="楷体_GB2312" w:hAnsi="楷体_GB2312" w:eastAsia="楷体_GB2312" w:cs="楷体_GB2312"/>
          <w:sz w:val="32"/>
          <w:szCs w:val="32"/>
        </w:rPr>
        <w:t>建筑垃圾管理</w:t>
      </w:r>
    </w:p>
    <w:p w14:paraId="0EBBAA8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源头管理。建筑垃圾按照工程渣土、工程泥浆、工程垃圾、拆除垃圾和装修垃圾进行分类，实行分类收集、分类贮存、分类运输、分类处置。物业管理企业应设置装修垃圾投放点，及时清理，交由具备资质的运输企业运至具备资质的处置场所无害化处理。</w:t>
      </w:r>
    </w:p>
    <w:p w14:paraId="2C9D465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处置核准。产生、运输、处置建筑垃圾的单位应当向行政审批服务管理部门提出申请，取得城市建筑垃圾处置核准后，在核准范围内处置建筑垃圾。</w:t>
      </w:r>
    </w:p>
    <w:p w14:paraId="44570E4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施工现场管理。工程施工单位应编制建筑垃圾处理方案，报建筑垃圾主管部门备案。对施工现场出入口地面进行硬化处理，配备车辆冲洗设备，确保净车出场。使用视频监控、号牌识别、车货称重等设备，建立管理台账，记录建筑垃圾产生量与种类、清运时间、清运量、运输单位、最终去向等信息。施工现场建筑垃圾及时清运，不得长期堆放。</w:t>
      </w:r>
    </w:p>
    <w:p w14:paraId="646FFAE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运输管理。从事建筑垃圾道路运输的单位应依法取得企业法人营业执照和道路运输经营许可证，运输车辆具备全密闭运输机械装置或密闭苫盖装置，安装北斗卫星定位、行驶及装卸记录仪，具备相应规模的车辆停放场地。建筑垃圾运输车辆采取密闭措施，不得超载、超速，不得沿途遗撒、滴漏，按照核准的运输时间与路线行驶。对个人和未取得运输核准的单位运输建筑垃圾的，依法从严查处。</w:t>
      </w:r>
    </w:p>
    <w:p w14:paraId="7E398B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装修垃圾管理。装修垃圾产生单位和个人应按照规定投放装修垃圾，不得混入其他生活垃圾。装修垃圾管理责任人履行相应义务，明确日常投放要求。</w:t>
      </w:r>
    </w:p>
    <w:p w14:paraId="45FFA10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资源化利用。按照“谁产生、谁付费”的原则，建筑垃圾产生方支付合理的运输、利用、处置费用。鼓励工程项目使用建筑垃圾资源化利用产品。</w:t>
      </w:r>
    </w:p>
    <w:p w14:paraId="66DE36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全过程监管。推行建筑垃圾全过程联单管理，实现建筑垃圾“来源可溯、去向可追、责任可究”。</w:t>
      </w:r>
    </w:p>
    <w:p w14:paraId="29BB83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（五）</w:t>
      </w:r>
      <w:r>
        <w:rPr>
          <w:rFonts w:hint="eastAsia" w:ascii="楷体_GB2312" w:hAnsi="楷体_GB2312" w:eastAsia="楷体_GB2312" w:cs="楷体_GB2312"/>
          <w:sz w:val="32"/>
          <w:szCs w:val="32"/>
        </w:rPr>
        <w:t>公厕管理</w:t>
      </w:r>
    </w:p>
    <w:p w14:paraId="464C7D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设标准。名称规范，做到“标志统一、指示清晰、通俗易懂”。一类公厕内设置洗手台；地面超潮湿区宜铺防滑垫；照明灯具宜采用智能集中控制，应具备应急灯；免费提供擦手纸、厕纸和洗手液；有条件的可设置休息座椅；设置消毒设施；休息室应开窗通风。</w:t>
      </w:r>
    </w:p>
    <w:p w14:paraId="00A928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保洁标准。公共卫生间有专人管理，保持清洁卫生</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地面无积水、无纸屑、烟头、痰迹和杂物，大便器内无积粪，小便器（槽）内不积存尿液，无污垢、杂物，墙壁顶棚整洁。达到“四净三无两通一明”标准，即地面净、墙壁净、厕位净、周边净，无溢流、无蚊蝇、无臭味，水通、电通，灯明。</w:t>
      </w:r>
    </w:p>
    <w:p w14:paraId="3F799B6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开放时间。</w:t>
      </w:r>
      <w:r>
        <w:rPr>
          <w:rFonts w:hint="eastAsia" w:ascii="仿宋_GB2312" w:hAnsi="仿宋_GB2312" w:eastAsia="仿宋_GB2312" w:cs="仿宋_GB2312"/>
          <w:sz w:val="32"/>
          <w:szCs w:val="32"/>
          <w:lang w:val="en-US" w:eastAsia="zh-CN"/>
        </w:rPr>
        <w:t>所有</w:t>
      </w:r>
      <w:r>
        <w:rPr>
          <w:rFonts w:hint="eastAsia" w:ascii="仿宋_GB2312" w:hAnsi="仿宋_GB2312" w:eastAsia="仿宋_GB2312" w:cs="仿宋_GB2312"/>
          <w:sz w:val="32"/>
          <w:szCs w:val="32"/>
        </w:rPr>
        <w:t>公共卫生间全天开放</w:t>
      </w:r>
      <w:r>
        <w:rPr>
          <w:rFonts w:hint="eastAsia" w:ascii="仿宋_GB2312" w:hAnsi="仿宋_GB2312" w:eastAsia="仿宋_GB2312" w:cs="仿宋_GB2312"/>
          <w:sz w:val="32"/>
          <w:szCs w:val="32"/>
          <w:lang w:eastAsia="zh-CN"/>
        </w:rPr>
        <w:t>。</w:t>
      </w:r>
    </w:p>
    <w:p w14:paraId="1F27081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（六）</w:t>
      </w:r>
      <w:r>
        <w:rPr>
          <w:rFonts w:hint="eastAsia" w:ascii="楷体_GB2312" w:hAnsi="楷体_GB2312" w:eastAsia="楷体_GB2312" w:cs="楷体_GB2312"/>
          <w:sz w:val="32"/>
          <w:szCs w:val="32"/>
        </w:rPr>
        <w:t>环卫设施管理</w:t>
      </w:r>
    </w:p>
    <w:p w14:paraId="4AF621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垃圾收集容器。与周围环境协调，美观、适用，完好率不低于98%,保持干净整洁，周围地面无存留垃圾，具备分类收集功能。</w:t>
      </w:r>
    </w:p>
    <w:p w14:paraId="563EB1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垃圾转运站。转运站内外场地整洁，无散落垃圾和积水。站内垃圾容器整洁，无污垢。转运站有专人管理，工具、物品摆放有序整齐。</w:t>
      </w:r>
    </w:p>
    <w:p w14:paraId="67B8DD6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三、“门前五包”责任制要求</w:t>
      </w:r>
    </w:p>
    <w:p w14:paraId="708A83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包净化。</w:t>
      </w:r>
      <w:r>
        <w:rPr>
          <w:rFonts w:hint="eastAsia" w:ascii="仿宋_GB2312" w:hAnsi="仿宋_GB2312" w:eastAsia="仿宋_GB2312" w:cs="仿宋_GB2312"/>
          <w:sz w:val="32"/>
          <w:szCs w:val="32"/>
        </w:rPr>
        <w:t>责任区内地面、墙体干净，按时清扫清洗保洁，垃圾容器等公共设施完好；无存留垃圾，无明显污迹，无野广告，无露天烧烤，无焚烧现象，地面无痰迹、粪便、瓜果皮核、纸屑、烟头等废弃物；责任单位须自备垃圾桶（袋），定期收集倾倒。</w:t>
      </w:r>
    </w:p>
    <w:p w14:paraId="2BF4559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包绿化。</w:t>
      </w:r>
      <w:r>
        <w:rPr>
          <w:rFonts w:hint="eastAsia" w:ascii="仿宋_GB2312" w:hAnsi="仿宋_GB2312" w:eastAsia="仿宋_GB2312" w:cs="仿宋_GB2312"/>
          <w:sz w:val="32"/>
          <w:szCs w:val="32"/>
        </w:rPr>
        <w:t>不向责任区树坑、花坛、绿篱等绿地内倾倒垃圾、渣土等废弃物或倾倒、排放污水，不践踏花草绿地，不攀折树木，发现损害花草树木的行为及时制止和举报。</w:t>
      </w:r>
    </w:p>
    <w:p w14:paraId="4CA71AF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包亮化。</w:t>
      </w:r>
      <w:r>
        <w:rPr>
          <w:rFonts w:hint="eastAsia" w:ascii="仿宋_GB2312" w:hAnsi="仿宋_GB2312" w:eastAsia="仿宋_GB2312" w:cs="仿宋_GB2312"/>
          <w:sz w:val="32"/>
          <w:szCs w:val="32"/>
        </w:rPr>
        <w:t>责任单位店面的户外灯箱广告、霓虹灯、亮化设施做到无损毁、字迹清晰、完整，发现图案、文字、灯光显示不全、污浊、腐蚀、损毁及时修饰；保持和维护责任区城市功能照明、景观照明设施完好、整洁，发现损坏者及时制止、举报。</w:t>
      </w:r>
    </w:p>
    <w:p w14:paraId="5756B15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（四）</w:t>
      </w:r>
      <w:r>
        <w:rPr>
          <w:rFonts w:hint="eastAsia" w:ascii="楷体_GB2312" w:hAnsi="楷体_GB2312" w:eastAsia="楷体_GB2312" w:cs="楷体_GB2312"/>
          <w:sz w:val="32"/>
          <w:szCs w:val="32"/>
        </w:rPr>
        <w:t>包美化。</w:t>
      </w:r>
      <w:r>
        <w:rPr>
          <w:rFonts w:hint="eastAsia" w:ascii="仿宋_GB2312" w:hAnsi="仿宋_GB2312" w:eastAsia="仿宋_GB2312" w:cs="仿宋_GB2312"/>
          <w:sz w:val="32"/>
          <w:szCs w:val="32"/>
        </w:rPr>
        <w:t>责任单位的建</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构</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筑物、门面、墙体、玻璃幕墙</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橱窗</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、牌匾、户外广告、栏杆等设施和装饰保持整洁美观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门前立柱、踏步、硬覆盖保持完好；责任区内无乱贴乱画，发现乱贴乱画者及时制止、举报并清除。</w:t>
      </w:r>
    </w:p>
    <w:p w14:paraId="0062ED9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（五）</w:t>
      </w:r>
      <w:r>
        <w:rPr>
          <w:rFonts w:hint="eastAsia" w:ascii="楷体_GB2312" w:hAnsi="楷体_GB2312" w:eastAsia="楷体_GB2312" w:cs="楷体_GB2312"/>
          <w:sz w:val="32"/>
          <w:szCs w:val="32"/>
        </w:rPr>
        <w:t>包秩序。</w:t>
      </w:r>
      <w:r>
        <w:rPr>
          <w:rFonts w:hint="eastAsia" w:ascii="仿宋_GB2312" w:hAnsi="仿宋_GB2312" w:eastAsia="仿宋_GB2312" w:cs="仿宋_GB2312"/>
          <w:sz w:val="32"/>
          <w:szCs w:val="32"/>
        </w:rPr>
        <w:t>保持责任区内秩序良好。不得违法搭建建</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构</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筑物及棚、亭、伞、架、围栏，不得擅自设置广告栏</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板</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、招牌、标语牌、彩虹门，无店外经营、店外加工</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修理</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乱堆乱倒、乱搭乱挂及使用高分贝音响设备招揽顾客等现象；不得擅自店外举办店庆、商品促销等活动，经批准举办相关活动的，按规定时间和要求进行，维护活动秩序，活动结束后及时清场；发现路边洗车、乱摆摊设点、乱停放车辆、乱挖掘及从事占卜、看手相等封建迷信活动及时制止、举报；发现打架斗殴、寻衅滋事等影响公共秩序和社会治安秩序的行为及时制止、报警。</w:t>
      </w:r>
    </w:p>
    <w:p w14:paraId="39EF874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14:paraId="291FC9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14:paraId="5B7EA30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14:paraId="1118FB7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14:paraId="0FA1DFE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14:paraId="45095DD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市政设施精细化管理标准</w:t>
      </w:r>
    </w:p>
    <w:p w14:paraId="43848FE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14:paraId="2B6789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一、城市道路</w:t>
      </w:r>
    </w:p>
    <w:p w14:paraId="7CDC3E1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车行道路</w:t>
      </w:r>
    </w:p>
    <w:p w14:paraId="3C3F13B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1.路面平整、坚实</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无裂缝、坑槽、壅包、啃边无脱落、掉渣、推挤、烂边现象。</w:t>
      </w:r>
    </w:p>
    <w:p w14:paraId="64B2C0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2.路面修补形状应规则，边线应平行或垂直于道路中线，接头平顺，无明显井座</w:t>
      </w:r>
      <w:r>
        <w:rPr>
          <w:rFonts w:hint="eastAsia" w:ascii="仿宋_GB2312" w:hAnsi="仿宋_GB2312" w:cs="仿宋_GB2312"/>
          <w:sz w:val="32"/>
          <w:szCs w:val="32"/>
          <w:lang w:eastAsia="zh-CN"/>
        </w:rPr>
        <w:t>沉降</w:t>
      </w:r>
      <w:r>
        <w:rPr>
          <w:rFonts w:hint="eastAsia" w:ascii="仿宋_GB2312" w:hAnsi="仿宋_GB2312" w:eastAsia="仿宋_GB2312" w:cs="仿宋_GB2312"/>
          <w:sz w:val="32"/>
          <w:szCs w:val="32"/>
        </w:rPr>
        <w:t>。</w:t>
      </w:r>
    </w:p>
    <w:p w14:paraId="57603C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3.主干路、次干路和支路3</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5日一巡，常规检测应每年一次</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结构强度检测</w:t>
      </w:r>
      <w:r>
        <w:rPr>
          <w:rFonts w:hint="eastAsia" w:ascii="华文仿宋" w:hAnsi="华文仿宋" w:eastAsia="华文仿宋" w:cs="华文仿宋"/>
          <w:sz w:val="32"/>
          <w:szCs w:val="32"/>
        </w:rPr>
        <w:t>Ⅰ</w:t>
      </w:r>
      <w:r>
        <w:rPr>
          <w:rFonts w:hint="eastAsia" w:ascii="仿宋_GB2312" w:hAnsi="仿宋_GB2312" w:eastAsia="仿宋_GB2312" w:cs="仿宋_GB2312"/>
          <w:sz w:val="32"/>
          <w:szCs w:val="32"/>
        </w:rPr>
        <w:t>等养护道路</w:t>
      </w:r>
      <w:r>
        <w:rPr>
          <w:rFonts w:hint="eastAsia" w:ascii="仿宋_GB2312" w:hAnsi="仿宋_GB2312" w:cs="仿宋_GB2312"/>
          <w:sz w:val="32"/>
          <w:szCs w:val="32"/>
          <w:lang w:eastAsia="zh-CN"/>
        </w:rPr>
        <w:t>2～3年</w:t>
      </w:r>
      <w:r>
        <w:rPr>
          <w:rFonts w:hint="eastAsia" w:ascii="仿宋_GB2312" w:hAnsi="仿宋_GB2312" w:eastAsia="仿宋_GB2312" w:cs="仿宋_GB2312"/>
          <w:sz w:val="32"/>
          <w:szCs w:val="32"/>
        </w:rPr>
        <w:t>一次，</w:t>
      </w:r>
      <w:r>
        <w:rPr>
          <w:rFonts w:hint="eastAsia" w:ascii="华文仿宋" w:hAnsi="华文仿宋" w:eastAsia="华文仿宋" w:cs="华文仿宋"/>
          <w:sz w:val="32"/>
          <w:szCs w:val="32"/>
        </w:rPr>
        <w:t>Ⅱ</w:t>
      </w:r>
      <w:r>
        <w:rPr>
          <w:rFonts w:hint="eastAsia" w:ascii="仿宋_GB2312" w:hAnsi="仿宋_GB2312" w:eastAsia="仿宋_GB2312" w:cs="仿宋_GB2312"/>
          <w:sz w:val="32"/>
          <w:szCs w:val="32"/>
        </w:rPr>
        <w:t>、</w:t>
      </w:r>
      <w:r>
        <w:rPr>
          <w:rFonts w:hint="eastAsia" w:ascii="华文仿宋" w:hAnsi="华文仿宋" w:eastAsia="华文仿宋" w:cs="华文仿宋"/>
          <w:sz w:val="32"/>
          <w:szCs w:val="32"/>
        </w:rPr>
        <w:t>Ⅲ</w:t>
      </w:r>
      <w:r>
        <w:rPr>
          <w:rFonts w:hint="eastAsia" w:ascii="仿宋_GB2312" w:hAnsi="仿宋_GB2312" w:eastAsia="仿宋_GB2312" w:cs="仿宋_GB2312"/>
          <w:sz w:val="32"/>
          <w:szCs w:val="32"/>
        </w:rPr>
        <w:t>等养护道路3</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4年一次，结构检测应由具有相应检测资质的单位承担。</w:t>
      </w:r>
    </w:p>
    <w:p w14:paraId="60031E6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人行道</w:t>
      </w:r>
    </w:p>
    <w:p w14:paraId="4F1F14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1.人行道铺装面平整，无明显沉陷、坑槽、拱</w:t>
      </w:r>
      <w:r>
        <w:rPr>
          <w:rFonts w:hint="eastAsia" w:ascii="仿宋_GB2312" w:hAnsi="仿宋_GB2312" w:cs="仿宋_GB2312"/>
          <w:sz w:val="32"/>
          <w:szCs w:val="32"/>
          <w:lang w:eastAsia="zh-CN"/>
        </w:rPr>
        <w:t>胀</w:t>
      </w:r>
      <w:r>
        <w:rPr>
          <w:rFonts w:hint="eastAsia" w:ascii="仿宋_GB2312" w:hAnsi="仿宋_GB2312" w:eastAsia="仿宋_GB2312" w:cs="仿宋_GB2312"/>
          <w:sz w:val="32"/>
          <w:szCs w:val="32"/>
        </w:rPr>
        <w:t>、积水，砌块无松动、残缺、破损，无突起高差等病害。</w:t>
      </w:r>
    </w:p>
    <w:p w14:paraId="650545F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2.平缘石、立缘石稳定牢固、线形直顺，缘石缝宽不得小于3mm,最大不得超过10mm。</w:t>
      </w:r>
    </w:p>
    <w:p w14:paraId="076C6FE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3.盲道上的导向砖、止步砖、缘石坡道位置安装正确</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完好无障碍物，无障碍通道，接坡平顺。</w:t>
      </w:r>
    </w:p>
    <w:p w14:paraId="2DD2AE8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5日一巡。</w:t>
      </w:r>
    </w:p>
    <w:p w14:paraId="478D8C3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二、城市桥梁</w:t>
      </w:r>
    </w:p>
    <w:p w14:paraId="1578C82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1.桥面保持平整</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结构完好</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无破损、漏筋现象，伸缩装置完好。</w:t>
      </w:r>
    </w:p>
    <w:p w14:paraId="7A559C1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2.桥体粉刷层保持整洁，无脱落。</w:t>
      </w:r>
    </w:p>
    <w:p w14:paraId="69CD58B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3.常规定期检查为每年一次。</w:t>
      </w:r>
    </w:p>
    <w:p w14:paraId="5025437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三、城市照明设施</w:t>
      </w:r>
    </w:p>
    <w:p w14:paraId="5499C98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cs="仿宋_GB2312"/>
          <w:sz w:val="32"/>
          <w:szCs w:val="32"/>
          <w:lang w:eastAsia="zh-CN"/>
        </w:rPr>
        <w:t>（一）</w:t>
      </w:r>
      <w:r>
        <w:rPr>
          <w:rFonts w:hint="eastAsia" w:ascii="仿宋_GB2312" w:hAnsi="仿宋_GB2312" w:eastAsia="仿宋_GB2312" w:cs="仿宋_GB2312"/>
          <w:sz w:val="32"/>
          <w:szCs w:val="32"/>
        </w:rPr>
        <w:t>照明器具及配电、监控等附属设施应完好，定期清洁，无破损、锈蚀、涂污，无违规悬挂广告或线缆。</w:t>
      </w:r>
    </w:p>
    <w:p w14:paraId="0A7C38C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cs="仿宋_GB2312"/>
          <w:sz w:val="32"/>
          <w:szCs w:val="32"/>
          <w:lang w:eastAsia="zh-CN"/>
        </w:rPr>
        <w:t>（二）</w:t>
      </w:r>
      <w:r>
        <w:rPr>
          <w:rFonts w:hint="eastAsia" w:ascii="仿宋_GB2312" w:hAnsi="仿宋_GB2312" w:eastAsia="仿宋_GB2312" w:cs="仿宋_GB2312"/>
          <w:sz w:val="32"/>
          <w:szCs w:val="32"/>
        </w:rPr>
        <w:t>定期巡查排查故障隐患，及时维修更换，确保照明效果，清理废弃照明设施。</w:t>
      </w:r>
    </w:p>
    <w:p w14:paraId="6F8777D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cs="仿宋_GB2312"/>
          <w:sz w:val="32"/>
          <w:szCs w:val="32"/>
          <w:lang w:eastAsia="zh-CN"/>
        </w:rPr>
        <w:t>（三）</w:t>
      </w:r>
      <w:r>
        <w:rPr>
          <w:rFonts w:hint="eastAsia" w:ascii="仿宋_GB2312" w:hAnsi="仿宋_GB2312" w:eastAsia="仿宋_GB2312" w:cs="仿宋_GB2312"/>
          <w:sz w:val="32"/>
          <w:szCs w:val="32"/>
        </w:rPr>
        <w:t>严禁擅自拆除、迁移、改动照明设施，照明设施安全距离内禁止违规种植或倾倒腐蚀物。</w:t>
      </w:r>
    </w:p>
    <w:p w14:paraId="644AFC5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四、其他附属设施</w:t>
      </w:r>
    </w:p>
    <w:p w14:paraId="065CF54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施工围挡</w:t>
      </w:r>
    </w:p>
    <w:p w14:paraId="535D831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1.市政临时占道</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2日内</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围挡：材质为0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6mm以上钢板，表面颜色为黄色，贴反光条，高100cm、宽100cm</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120cm</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上方部分激光开孔，1cm直径、1cm间隔</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牢固组合围挡。</w:t>
      </w:r>
    </w:p>
    <w:p w14:paraId="1AA02C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2.市政短期占道</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2日以上</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围挡：材质为0.6mm以上钢板，表面颜色为黄色，贴反光条，高200cm、宽100cm</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120cm</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上方部分激光开孔，1cm直径、1cm间隔</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牢固组合围挡。</w:t>
      </w:r>
    </w:p>
    <w:p w14:paraId="3DE74AE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3.围挡顶部设置24小时不间断警示灯，连续设置的警示灯间距不超过5m。</w:t>
      </w:r>
    </w:p>
    <w:p w14:paraId="783EA26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4.围挡底座设计合理，采用可移动砼底座或三脚架式支撑底座。不得在不扰动的路面上打膨胀螺钉。</w:t>
      </w:r>
    </w:p>
    <w:p w14:paraId="7DFFF26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5.巡查频率与围挡所在道路车行道巡查频率一致。</w:t>
      </w:r>
    </w:p>
    <w:p w14:paraId="71B33D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地下设施检查井井盖</w:t>
      </w:r>
    </w:p>
    <w:p w14:paraId="18781E1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井盖设施应当完好无翻盖，井体顶面与周围路面要齐平，相对高差要符合有关行业技术规范，确保行人和车辆通过时无响动、不移位、不损坏。</w:t>
      </w:r>
    </w:p>
    <w:p w14:paraId="4608CCD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8D1EF29-5999-4758-B69D-10EC21E41D6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E0D8F77-F8EA-4BD1-8696-31F6D6B3BC93}"/>
  </w:font>
  <w:font w:name="仿宋_GB2312">
    <w:panose1 w:val="02010609030101010101"/>
    <w:charset w:val="86"/>
    <w:family w:val="auto"/>
    <w:pitch w:val="default"/>
    <w:sig w:usb0="00000001" w:usb1="080E0000" w:usb2="00000000" w:usb3="00000000" w:csb0="00040000" w:csb1="00000000"/>
    <w:embedRegular r:id="rId3" w:fontKey="{A251D0D7-5298-4416-A762-0AC8C90B6D21}"/>
  </w:font>
  <w:font w:name="方正小标宋简体">
    <w:panose1 w:val="02000000000000000000"/>
    <w:charset w:val="86"/>
    <w:family w:val="auto"/>
    <w:pitch w:val="default"/>
    <w:sig w:usb0="00000001" w:usb1="08000000" w:usb2="00000000" w:usb3="00000000" w:csb0="00040000" w:csb1="00000000"/>
    <w:embedRegular r:id="rId4" w:fontKey="{DA65C68A-1246-4689-AC70-CE2932D4B364}"/>
  </w:font>
  <w:font w:name="楷体_GB2312">
    <w:panose1 w:val="02010609030101010101"/>
    <w:charset w:val="86"/>
    <w:family w:val="auto"/>
    <w:pitch w:val="default"/>
    <w:sig w:usb0="00000001" w:usb1="080E0000" w:usb2="00000000" w:usb3="00000000" w:csb0="00040000" w:csb1="00000000"/>
    <w:embedRegular r:id="rId5" w:fontKey="{50841D93-8FB1-40FF-9710-FE266630C0B3}"/>
  </w:font>
  <w:font w:name="华文仿宋">
    <w:altName w:val="仿宋"/>
    <w:panose1 w:val="02010600040101010101"/>
    <w:charset w:val="86"/>
    <w:family w:val="auto"/>
    <w:pitch w:val="default"/>
    <w:sig w:usb0="00000000" w:usb1="00000000" w:usb2="00000000" w:usb3="00000000" w:csb0="0004009F" w:csb1="DFD70000"/>
    <w:embedRegular r:id="rId6" w:fontKey="{13E5AA25-53BD-43E2-A48A-2DE60AD10F18}"/>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711F2F"/>
    <w:rsid w:val="02711F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仿宋_GB2312"/>
      <w:kern w:val="2"/>
      <w:sz w:val="32"/>
      <w:szCs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2026-11-04T10:04:00Z</dcterms:created>
  <dc:creator>Leader</dc:creator>
  <cp:lastModifiedBy>Leader</cp:lastModifiedBy>
  <dcterms:modified xsi:type="dcterms:W3CDTF">2026-11-04T10:06:59Z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3D0CB61B34B4489C893CC5DA0E5A89B7_11</vt:lpwstr>
  </property>
  <property fmtid="{D5CDD505-2E9C-101B-9397-08002B2CF9AE}" pid="4" name="KSOTemplateDocerSaveRecord">
    <vt:lpwstr>eyJoZGlkIjoiNDEyZGY2NjE0MWI1YWI2Zjg2MTYxMGUzZGFiNTZlMDIiLCJ1c2VySWQiOiIyNDM3Nzc1OTAifQ==</vt:lpwstr>
  </property>
</Properties>
</file>