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B33E9">
      <w:pPr>
        <w:pStyle w:val="3"/>
        <w:keepNext/>
        <w:keepLines/>
        <w:pageBreakBefore w:val="0"/>
        <w:widowControl/>
        <w:kinsoku/>
        <w:wordWrap/>
        <w:overflowPunct/>
        <w:topLinePunct w:val="0"/>
        <w:autoSpaceDE/>
        <w:autoSpaceDN/>
        <w:bidi w:val="0"/>
        <w:adjustRightInd/>
        <w:snapToGrid/>
        <w:spacing w:after="0" w:line="360" w:lineRule="auto"/>
        <w:ind w:left="0"/>
        <w:jc w:val="left"/>
        <w:textAlignment w:val="auto"/>
        <w:rPr>
          <w:rFonts w:hint="eastAsia" w:ascii="Times New Roman" w:hAnsi="Times New Roman" w:eastAsia="仿宋" w:cs="Times New Roman"/>
          <w:b/>
          <w:bCs/>
          <w:sz w:val="28"/>
          <w:szCs w:val="28"/>
          <w:lang w:val="en-US" w:eastAsia="zh-CN"/>
        </w:rPr>
      </w:pPr>
      <w:bookmarkStart w:id="0" w:name="_Toc29661"/>
      <w:r>
        <w:rPr>
          <w:rFonts w:hint="eastAsia" w:ascii="Times New Roman" w:hAnsi="Times New Roman" w:eastAsia="仿宋" w:cs="Times New Roman"/>
          <w:b/>
          <w:bCs/>
          <w:sz w:val="28"/>
          <w:szCs w:val="28"/>
          <w:lang w:val="en-US" w:eastAsia="zh-CN"/>
        </w:rPr>
        <w:t>附件2：</w:t>
      </w:r>
      <w:bookmarkStart w:id="1" w:name="_GoBack"/>
      <w:r>
        <w:rPr>
          <w:rFonts w:hint="eastAsia" w:ascii="Times New Roman" w:hAnsi="Times New Roman" w:eastAsia="仿宋" w:cs="Times New Roman"/>
          <w:b/>
          <w:bCs/>
          <w:sz w:val="28"/>
          <w:szCs w:val="28"/>
          <w:lang w:val="en-US" w:eastAsia="zh-CN"/>
        </w:rPr>
        <w:t>突发环境事件响应条件表</w:t>
      </w:r>
      <w:bookmarkEnd w:id="1"/>
      <w:bookmarkEnd w:id="0"/>
    </w:p>
    <w:tbl>
      <w:tblPr>
        <w:tblStyle w:val="7"/>
        <w:tblW w:w="137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52"/>
        <w:gridCol w:w="3437"/>
        <w:gridCol w:w="3437"/>
        <w:gridCol w:w="3453"/>
      </w:tblGrid>
      <w:tr w14:paraId="6FF0A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jc w:val="center"/>
        </w:trPr>
        <w:tc>
          <w:tcPr>
            <w:tcW w:w="3452" w:type="dxa"/>
            <w:tcBorders>
              <w:left w:val="single" w:color="000000" w:sz="10" w:space="0"/>
            </w:tcBorders>
            <w:noWrap w:val="0"/>
            <w:vAlign w:val="center"/>
          </w:tcPr>
          <w:p w14:paraId="75F01E1B">
            <w:pP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一级响应</w:t>
            </w:r>
          </w:p>
        </w:tc>
        <w:tc>
          <w:tcPr>
            <w:tcW w:w="3437" w:type="dxa"/>
            <w:noWrap w:val="0"/>
            <w:vAlign w:val="center"/>
          </w:tcPr>
          <w:p w14:paraId="0B0E34C8">
            <w:pP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二级响应</w:t>
            </w:r>
          </w:p>
        </w:tc>
        <w:tc>
          <w:tcPr>
            <w:tcW w:w="3437" w:type="dxa"/>
            <w:noWrap w:val="0"/>
            <w:vAlign w:val="center"/>
          </w:tcPr>
          <w:p w14:paraId="1E4CDBCE">
            <w:pP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三级响应</w:t>
            </w:r>
          </w:p>
        </w:tc>
        <w:tc>
          <w:tcPr>
            <w:tcW w:w="3453" w:type="dxa"/>
            <w:tcBorders>
              <w:right w:val="single" w:color="000000" w:sz="10" w:space="0"/>
            </w:tcBorders>
            <w:noWrap w:val="0"/>
            <w:vAlign w:val="center"/>
          </w:tcPr>
          <w:p w14:paraId="42488A71">
            <w:pP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四级响应</w:t>
            </w:r>
          </w:p>
        </w:tc>
      </w:tr>
      <w:tr w14:paraId="7BB42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6" w:hRule="atLeast"/>
          <w:jc w:val="center"/>
        </w:trPr>
        <w:tc>
          <w:tcPr>
            <w:tcW w:w="3452" w:type="dxa"/>
            <w:tcBorders>
              <w:left w:val="single" w:color="000000" w:sz="10" w:space="0"/>
            </w:tcBorders>
            <w:noWrap w:val="0"/>
            <w:vAlign w:val="center"/>
          </w:tcPr>
          <w:p w14:paraId="236EF993">
            <w:pP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启动条件：初判①发生特别重大突发环境事件的；②可能导致30人以上死亡或100人以上中毒或重伤的；③需疏散、转移人员5万人以上的；④可能造成直接经济损失1亿元以上的；⑤可能造成区域生态功能丧失或该区域国家重点保护物种灭绝的；⑥对设区的市级以上城市集中式饮用水水源保护区造成或者可能造成影响的突发环境事件时，启动一级响应。</w:t>
            </w:r>
          </w:p>
        </w:tc>
        <w:tc>
          <w:tcPr>
            <w:tcW w:w="3437" w:type="dxa"/>
            <w:noWrap w:val="0"/>
            <w:vAlign w:val="center"/>
          </w:tcPr>
          <w:p w14:paraId="7FB13AE8">
            <w:pP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启动条件：初判①发生重大突发环境事件的；②可能导致10人以上30人以下死亡或50人以上100人以下中毒或重伤的；③需疏散、转移人员1万人以上5万人以下的；④可能造成直接经济损失2000万元以上1亿元以下的；⑤可能造成区域生态功能部分丧失或该区域国家重点保护野生动植物种群大批死亡的；⑥对县级集中式饮用水水源保护区造成或者可能造成影响的；⑦可能造成跨省级行政区域影响的突发环境事件时，启动二级响应。</w:t>
            </w:r>
          </w:p>
        </w:tc>
        <w:tc>
          <w:tcPr>
            <w:tcW w:w="3437" w:type="dxa"/>
            <w:noWrap w:val="0"/>
            <w:vAlign w:val="center"/>
          </w:tcPr>
          <w:p w14:paraId="52F7189A">
            <w:pP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启动条件：初判①发生较大突发环境事件的；②可能导致3人以上10人以下死亡或10人以上50人以下中毒或重伤的；③需疏散、转移人员5000人以上1万人以下的；④可能造成直接经济损失500万元以上2000万元以下的；⑤可能造成国家重点保护的动植物物种受到破坏的；⑥对集中式饮用水水源保护区造成或者可能造成影响的；⑦可能造成跨设区的市级行政区域影响的突发环境事件时，启动三级响应。</w:t>
            </w:r>
          </w:p>
        </w:tc>
        <w:tc>
          <w:tcPr>
            <w:tcW w:w="3453" w:type="dxa"/>
            <w:tcBorders>
              <w:right w:val="single" w:color="000000" w:sz="10" w:space="0"/>
            </w:tcBorders>
            <w:noWrap w:val="0"/>
            <w:vAlign w:val="center"/>
          </w:tcPr>
          <w:p w14:paraId="6896EE8D">
            <w:pP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启动条件：初判①发生一般突发环境事件的；②可能导致3人以下死亡或10人以下中毒或重伤的；③需疏散、转移人员5000人以下的；④可能造成直接经济损失500万元 以下的；⑤可能造成跨县级行政区域纠纷，引起一般性群体影响的； ⑥对环境造成一定影响，尚未达到较大突发环境事件级别的突发环境事件时，启动四级响应。</w:t>
            </w:r>
          </w:p>
        </w:tc>
      </w:tr>
      <w:tr w14:paraId="2D6D6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3779" w:type="dxa"/>
            <w:gridSpan w:val="4"/>
            <w:tcBorders>
              <w:left w:val="single" w:color="000000" w:sz="10" w:space="0"/>
              <w:right w:val="single" w:color="000000" w:sz="10" w:space="0"/>
            </w:tcBorders>
            <w:noWrap w:val="0"/>
            <w:vAlign w:val="top"/>
          </w:tcPr>
          <w:p w14:paraId="0101403D">
            <w:pPr>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上述响应条件有关数量的表述中，“以上”含本数，“以下”不含本数。</w:t>
            </w:r>
          </w:p>
        </w:tc>
      </w:tr>
    </w:tbl>
    <w:p w14:paraId="3285C1F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6487C"/>
    <w:rsid w:val="3656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unhideWhenUsed/>
    <w:qFormat/>
    <w:uiPriority w:val="9"/>
    <w:pPr>
      <w:keepNext/>
      <w:keepLines/>
      <w:spacing w:after="217" w:line="259" w:lineRule="auto"/>
      <w:ind w:left="117"/>
      <w:jc w:val="center"/>
      <w:outlineLvl w:val="1"/>
    </w:pPr>
    <w:rPr>
      <w:rFonts w:ascii="微软雅黑" w:hAnsi="微软雅黑" w:eastAsia="微软雅黑" w:cs="微软雅黑"/>
      <w:color w:val="000000"/>
      <w:kern w:val="2"/>
      <w:sz w:val="36"/>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eastAsia="宋体" w:cs="Times New Roman"/>
    </w:rPr>
  </w:style>
  <w:style w:type="paragraph" w:styleId="4">
    <w:name w:val="footer"/>
    <w:basedOn w:val="1"/>
    <w:semiHidden/>
    <w:unhideWhenUsed/>
    <w:qFormat/>
    <w:uiPriority w:val="99"/>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2025-05-09T01:56:00Z</dcterms:created>
  <dc:creator>Administrator</dc:creator>
  <cp:lastModifiedBy>Administrator</cp:lastModifiedBy>
  <dcterms:modified xsi:type="dcterms:W3CDTF">2025-05-09T01:57:59Z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A0F04D5D558E422280A8CD90FC63F09D_11</vt:lpwstr>
  </property>
  <property fmtid="{D5CDD505-2E9C-101B-9397-08002B2CF9AE}" pid="4" name="KSOTemplateDocerSaveRecord">
    <vt:lpwstr>eyJoZGlkIjoiOGNjNGNiZDIyOWM4MzhmMDc5NWNhNzUyZmM0M2UzODgifQ==</vt:lpwstr>
  </property>
</Properties>
</file>